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5DE3D" w14:textId="77777777" w:rsidR="006C04A7" w:rsidRPr="00C77884" w:rsidRDefault="006C04A7" w:rsidP="006C04A7">
      <w:pPr>
        <w:rPr>
          <w:b/>
          <w:bCs/>
        </w:rPr>
      </w:pPr>
      <w:r w:rsidRPr="00C77884">
        <w:rPr>
          <w:b/>
          <w:bCs/>
        </w:rPr>
        <w:t xml:space="preserve">Faculty Name: Dr </w:t>
      </w:r>
      <w:r>
        <w:rPr>
          <w:b/>
          <w:bCs/>
        </w:rPr>
        <w:t>Vijay Kumar</w:t>
      </w:r>
    </w:p>
    <w:p w14:paraId="62DB9696" w14:textId="77777777" w:rsidR="006C04A7" w:rsidRPr="00C77884" w:rsidRDefault="006C04A7" w:rsidP="006C04A7">
      <w:pPr>
        <w:rPr>
          <w:b/>
          <w:bCs/>
        </w:rPr>
      </w:pPr>
      <w:r w:rsidRPr="00C77884">
        <w:rPr>
          <w:b/>
          <w:bCs/>
        </w:rPr>
        <w:t>Course and Sem: B.A. (Prog) Semester -</w:t>
      </w:r>
      <w:r>
        <w:rPr>
          <w:b/>
          <w:bCs/>
        </w:rPr>
        <w:t>VI</w:t>
      </w:r>
      <w:r w:rsidRPr="00C77884">
        <w:rPr>
          <w:b/>
          <w:bCs/>
        </w:rPr>
        <w:t xml:space="preserve">, </w:t>
      </w:r>
      <w:r>
        <w:rPr>
          <w:b/>
          <w:bCs/>
        </w:rPr>
        <w:t>3</w:t>
      </w:r>
      <w:r>
        <w:rPr>
          <w:b/>
          <w:bCs/>
          <w:vertAlign w:val="superscript"/>
        </w:rPr>
        <w:t>rd</w:t>
      </w:r>
      <w:r w:rsidRPr="00C77884">
        <w:rPr>
          <w:b/>
          <w:bCs/>
        </w:rPr>
        <w:t xml:space="preserve"> Year</w:t>
      </w:r>
    </w:p>
    <w:p w14:paraId="1D2CDCD3" w14:textId="77777777" w:rsidR="006C04A7" w:rsidRPr="00C77884" w:rsidRDefault="006C04A7" w:rsidP="006C04A7">
      <w:pPr>
        <w:rPr>
          <w:b/>
          <w:bCs/>
        </w:rPr>
      </w:pPr>
      <w:r w:rsidRPr="00C77884">
        <w:rPr>
          <w:b/>
          <w:bCs/>
        </w:rPr>
        <w:t xml:space="preserve"> Academic Session: January</w:t>
      </w:r>
      <w:r>
        <w:rPr>
          <w:b/>
          <w:bCs/>
        </w:rPr>
        <w:t xml:space="preserve"> 2021</w:t>
      </w:r>
      <w:r w:rsidRPr="00C77884">
        <w:rPr>
          <w:b/>
          <w:bCs/>
        </w:rPr>
        <w:t xml:space="preserve"> to </w:t>
      </w:r>
      <w:r>
        <w:rPr>
          <w:b/>
          <w:bCs/>
        </w:rPr>
        <w:t>May</w:t>
      </w:r>
      <w:r w:rsidRPr="00C77884">
        <w:rPr>
          <w:b/>
          <w:bCs/>
        </w:rPr>
        <w:t xml:space="preserve"> 202</w:t>
      </w:r>
      <w:r>
        <w:rPr>
          <w:b/>
          <w:bCs/>
        </w:rPr>
        <w:t>1</w:t>
      </w:r>
    </w:p>
    <w:p w14:paraId="5D204672" w14:textId="77777777" w:rsidR="006C04A7" w:rsidRPr="00C77884" w:rsidRDefault="006C04A7" w:rsidP="006C04A7">
      <w:pPr>
        <w:rPr>
          <w:b/>
          <w:bCs/>
        </w:rPr>
      </w:pPr>
      <w:r w:rsidRPr="00C77884">
        <w:rPr>
          <w:b/>
          <w:bCs/>
        </w:rPr>
        <w:t xml:space="preserve">Taught Individually or shared: Individually </w:t>
      </w:r>
    </w:p>
    <w:p w14:paraId="2EDEE058" w14:textId="25367822" w:rsidR="006C04A7" w:rsidRDefault="006C04A7" w:rsidP="006C04A7">
      <w:pPr>
        <w:rPr>
          <w:b/>
          <w:bCs/>
        </w:rPr>
      </w:pPr>
      <w:r w:rsidRPr="00C77884">
        <w:rPr>
          <w:b/>
          <w:bCs/>
        </w:rPr>
        <w:t>Paper</w:t>
      </w:r>
      <w:r>
        <w:t xml:space="preserve">: </w:t>
      </w:r>
      <w:r w:rsidRPr="006C04A7">
        <w:rPr>
          <w:b/>
          <w:bCs/>
        </w:rPr>
        <w:t>Delhi through the Ages</w:t>
      </w:r>
      <w:r>
        <w:rPr>
          <w:b/>
          <w:bCs/>
        </w:rPr>
        <w:t xml:space="preserve"> (GE)</w:t>
      </w:r>
    </w:p>
    <w:p w14:paraId="122A9BA7" w14:textId="6895B885" w:rsidR="006C04A7" w:rsidRDefault="006C04A7" w:rsidP="006C04A7">
      <w:pPr>
        <w:rPr>
          <w:b/>
          <w:bCs/>
        </w:rPr>
      </w:pPr>
      <w:r w:rsidRPr="00C77884">
        <w:rPr>
          <w:b/>
          <w:bCs/>
        </w:rPr>
        <w:t>No. of classes: (Per Week) 5 Lectures and 2 tutorials</w:t>
      </w:r>
      <w:r>
        <w:rPr>
          <w:b/>
          <w:bCs/>
        </w:rPr>
        <w:t>.</w:t>
      </w:r>
    </w:p>
    <w:p w14:paraId="52D4B4C3" w14:textId="45276CA3" w:rsidR="006C04A7" w:rsidRDefault="006C04A7" w:rsidP="006C04A7">
      <w:pPr>
        <w:rPr>
          <w:b/>
          <w:bCs/>
        </w:rPr>
      </w:pPr>
    </w:p>
    <w:p w14:paraId="7D65C424" w14:textId="7890A40F" w:rsidR="006C04A7" w:rsidRDefault="006C04A7" w:rsidP="006C04A7">
      <w:pPr>
        <w:rPr>
          <w:szCs w:val="22"/>
        </w:rPr>
      </w:pPr>
      <w:r>
        <w:rPr>
          <w:b/>
          <w:bCs/>
          <w:sz w:val="24"/>
          <w:szCs w:val="24"/>
          <w:lang w:val="en-US"/>
        </w:rPr>
        <w:t>Teaching Methodology</w:t>
      </w:r>
      <w:r w:rsidRPr="004170BB">
        <w:rPr>
          <w:b/>
          <w:bCs/>
          <w:sz w:val="20"/>
          <w:lang w:val="en-US"/>
        </w:rPr>
        <w:t xml:space="preserve">- </w:t>
      </w:r>
      <w:r w:rsidRPr="004170BB">
        <w:rPr>
          <w:szCs w:val="22"/>
          <w:lang w:val="en-US"/>
        </w:rPr>
        <w:t>I have use various teaching methodology which is very useful for students like lecture method, Group discussion</w:t>
      </w:r>
      <w:r w:rsidRPr="004170BB">
        <w:rPr>
          <w:szCs w:val="22"/>
        </w:rPr>
        <w:t>, project-based learning, problem-based learning and also Students will be regularly assessed for their grasp on themes through debates and discussions covered in class. Two written assignments and at least one presentation will be used for final grading of the students. Students will be assessed on their ability to engage with a sizeable corpus of readings assigned to the theme for written submissions, i.e., being able to explain important historical trends and trace historiographical changes reflected in the assigned readings.</w:t>
      </w:r>
    </w:p>
    <w:p w14:paraId="3C2A1CCC" w14:textId="77777777" w:rsidR="00545880" w:rsidRDefault="00545880" w:rsidP="00545880">
      <w:pPr>
        <w:rPr>
          <w:b/>
          <w:bCs/>
        </w:rPr>
      </w:pPr>
      <w:r w:rsidRPr="005D49C6">
        <w:rPr>
          <w:b/>
          <w:bCs/>
        </w:rPr>
        <w:t>Course Content:</w:t>
      </w:r>
    </w:p>
    <w:p w14:paraId="01791176" w14:textId="51C13FD5" w:rsidR="00545880" w:rsidRDefault="00545880" w:rsidP="00545880">
      <w:r w:rsidRPr="005D49C6">
        <w:rPr>
          <w:b/>
          <w:bCs/>
        </w:rPr>
        <w:t>Unit I</w:t>
      </w:r>
      <w:r>
        <w:rPr>
          <w:b/>
          <w:bCs/>
        </w:rPr>
        <w:t xml:space="preserve">. </w:t>
      </w:r>
      <w:r>
        <w:t xml:space="preserve">The environmental setting; prehistoric and protohistoric sites; </w:t>
      </w:r>
      <w:proofErr w:type="spellStart"/>
      <w:r>
        <w:t>PuranaQila</w:t>
      </w:r>
      <w:proofErr w:type="spellEnd"/>
      <w:r>
        <w:t>: archaeology and legend</w:t>
      </w:r>
    </w:p>
    <w:p w14:paraId="7DBABCF8" w14:textId="2235DDB8" w:rsidR="00A52B5B" w:rsidRDefault="00A52B5B" w:rsidP="00545880">
      <w:r>
        <w:t>This unit describe archaeology of the Delhi for better understanding of the students.</w:t>
      </w:r>
    </w:p>
    <w:p w14:paraId="000D45BE" w14:textId="4091556A" w:rsidR="00A52B5B" w:rsidRDefault="00A52B5B" w:rsidP="00A52B5B">
      <w:pPr>
        <w:rPr>
          <w:b/>
          <w:bCs/>
        </w:rPr>
      </w:pPr>
      <w:r w:rsidRPr="005D49C6">
        <w:rPr>
          <w:b/>
          <w:bCs/>
        </w:rPr>
        <w:t xml:space="preserve">(Teaching Time: </w:t>
      </w:r>
      <w:r w:rsidR="00E45318">
        <w:rPr>
          <w:b/>
          <w:bCs/>
        </w:rPr>
        <w:t>01</w:t>
      </w:r>
      <w:r w:rsidRPr="005D49C6">
        <w:rPr>
          <w:b/>
          <w:bCs/>
        </w:rPr>
        <w:t xml:space="preserve"> weeks approx.)</w:t>
      </w:r>
    </w:p>
    <w:p w14:paraId="18392ED1" w14:textId="0787935F" w:rsidR="00A52B5B" w:rsidRDefault="00A52B5B" w:rsidP="00A52B5B">
      <w:pPr>
        <w:rPr>
          <w:b/>
          <w:bCs/>
        </w:rPr>
      </w:pPr>
      <w:r>
        <w:rPr>
          <w:b/>
          <w:bCs/>
        </w:rPr>
        <w:t>Suggesting Readings:</w:t>
      </w:r>
    </w:p>
    <w:p w14:paraId="772D4779" w14:textId="7EF0F6CB" w:rsidR="00A52B5B" w:rsidRPr="00A52B5B" w:rsidRDefault="00A52B5B" w:rsidP="00A52B5B">
      <w:pPr>
        <w:pStyle w:val="ListParagraph"/>
        <w:numPr>
          <w:ilvl w:val="0"/>
          <w:numId w:val="2"/>
        </w:numPr>
        <w:rPr>
          <w:b/>
          <w:bCs/>
        </w:rPr>
      </w:pPr>
      <w:r>
        <w:t xml:space="preserve">Singh, </w:t>
      </w:r>
      <w:proofErr w:type="spellStart"/>
      <w:r>
        <w:t>Upinder</w:t>
      </w:r>
      <w:proofErr w:type="spellEnd"/>
      <w:r>
        <w:t xml:space="preserve"> ed. Delhi: Ancient History, New Delhi: Social Science Press, 2006, pp. 185-92, 200-204.</w:t>
      </w:r>
    </w:p>
    <w:p w14:paraId="41C66B3A" w14:textId="77777777" w:rsidR="00A52B5B" w:rsidRPr="00A52B5B" w:rsidRDefault="00A52B5B" w:rsidP="00A52B5B">
      <w:pPr>
        <w:pStyle w:val="ListParagraph"/>
        <w:numPr>
          <w:ilvl w:val="0"/>
          <w:numId w:val="2"/>
        </w:numPr>
        <w:rPr>
          <w:b/>
          <w:bCs/>
        </w:rPr>
      </w:pPr>
      <w:r>
        <w:t xml:space="preserve">Dalrymple, William. City of Djinns: A Year in </w:t>
      </w:r>
      <w:proofErr w:type="spellStart"/>
      <w:r>
        <w:t>Delhi.New</w:t>
      </w:r>
      <w:proofErr w:type="spellEnd"/>
      <w:r>
        <w:t xml:space="preserve"> Delhi: Penguin, 2004.Chapter II., pp. 27-37. </w:t>
      </w:r>
    </w:p>
    <w:p w14:paraId="18C9BE08" w14:textId="77777777" w:rsidR="00A52B5B" w:rsidRPr="00A52B5B" w:rsidRDefault="00A52B5B" w:rsidP="00A52B5B">
      <w:pPr>
        <w:pStyle w:val="ListParagraph"/>
        <w:numPr>
          <w:ilvl w:val="0"/>
          <w:numId w:val="2"/>
        </w:numPr>
        <w:rPr>
          <w:b/>
          <w:bCs/>
        </w:rPr>
      </w:pPr>
      <w:r>
        <w:t xml:space="preserve"> Gupta, </w:t>
      </w:r>
      <w:proofErr w:type="spellStart"/>
      <w:r>
        <w:t>Narayani</w:t>
      </w:r>
      <w:proofErr w:type="spellEnd"/>
      <w:r>
        <w:t>. Delhi between the Empires: 1803-1931, New Delhi: Oxford University Press, 1999. pp. 20-31, 50-66, 160-82. •</w:t>
      </w:r>
    </w:p>
    <w:p w14:paraId="7D38CC0B" w14:textId="30C1F063" w:rsidR="00A52B5B" w:rsidRPr="00A77B37" w:rsidRDefault="00A52B5B" w:rsidP="00A52B5B">
      <w:pPr>
        <w:pStyle w:val="ListParagraph"/>
        <w:numPr>
          <w:ilvl w:val="0"/>
          <w:numId w:val="2"/>
        </w:numPr>
        <w:rPr>
          <w:b/>
          <w:bCs/>
        </w:rPr>
      </w:pPr>
      <w:r>
        <w:t xml:space="preserve"> Koch, Ebba. “The Mughal Waterfront Garden.” In Mughal Art and Imperial Ideology by Ebba Koch, 183-202. New Delhi: Oxford University Press, 2001. • Kumar, Sunil. “Courts, Capitals and Kingship: Delhi and its Sultans in the Thirteenth and Fourteenth Centuries CE.” In Court Cultures in the Muslim World: Seventh to Nineteenth Centuries edited by Albrecht </w:t>
      </w:r>
      <w:proofErr w:type="spellStart"/>
      <w:r>
        <w:t>Fuess</w:t>
      </w:r>
      <w:proofErr w:type="spellEnd"/>
      <w:r>
        <w:t xml:space="preserve"> and Jan Peter Hartung, 123-148. London: Routledge, 2011</w:t>
      </w:r>
    </w:p>
    <w:p w14:paraId="1B2FDEC2" w14:textId="06DD3364" w:rsidR="00A77B37" w:rsidRDefault="00A77B37" w:rsidP="00A77B37">
      <w:r w:rsidRPr="005D49C6">
        <w:rPr>
          <w:b/>
          <w:bCs/>
        </w:rPr>
        <w:t>Unit I</w:t>
      </w:r>
      <w:r>
        <w:rPr>
          <w:b/>
          <w:bCs/>
        </w:rPr>
        <w:t xml:space="preserve">.: </w:t>
      </w:r>
      <w:r>
        <w:t xml:space="preserve">The transition to the historical period: Ashokan edicts; the Mehrauli iron pillar; </w:t>
      </w:r>
      <w:proofErr w:type="spellStart"/>
      <w:r>
        <w:t>Anangpur</w:t>
      </w:r>
      <w:proofErr w:type="spellEnd"/>
      <w:r w:rsidR="002C5536">
        <w:t>.</w:t>
      </w:r>
    </w:p>
    <w:p w14:paraId="6F093DB2" w14:textId="0D448AA9" w:rsidR="002C5536" w:rsidRDefault="002C5536" w:rsidP="00A77B37">
      <w:r>
        <w:t xml:space="preserve">This unit also describe transition to the historical period: Ashokan edicts; the Mehrauli iron pillar; </w:t>
      </w:r>
      <w:proofErr w:type="spellStart"/>
      <w:r>
        <w:t>Anangpur</w:t>
      </w:r>
      <w:proofErr w:type="spellEnd"/>
      <w:r>
        <w:t>.</w:t>
      </w:r>
    </w:p>
    <w:p w14:paraId="091F7913" w14:textId="77777777" w:rsidR="002C5536" w:rsidRDefault="002C5536" w:rsidP="00A77B37"/>
    <w:p w14:paraId="1142CF49" w14:textId="1D90B43B" w:rsidR="00A77B37" w:rsidRDefault="00A77B37" w:rsidP="00A77B37">
      <w:pPr>
        <w:rPr>
          <w:b/>
          <w:bCs/>
        </w:rPr>
      </w:pPr>
      <w:r w:rsidRPr="005D49C6">
        <w:rPr>
          <w:b/>
          <w:bCs/>
        </w:rPr>
        <w:lastRenderedPageBreak/>
        <w:t xml:space="preserve">(Teaching Time: </w:t>
      </w:r>
      <w:r w:rsidR="00941697">
        <w:rPr>
          <w:b/>
          <w:bCs/>
        </w:rPr>
        <w:t>02</w:t>
      </w:r>
      <w:r w:rsidRPr="005D49C6">
        <w:rPr>
          <w:b/>
          <w:bCs/>
        </w:rPr>
        <w:t xml:space="preserve"> weeks approx.)</w:t>
      </w:r>
    </w:p>
    <w:p w14:paraId="4B16F0D8" w14:textId="77777777" w:rsidR="00A77B37" w:rsidRDefault="00A77B37" w:rsidP="00A77B37">
      <w:pPr>
        <w:rPr>
          <w:b/>
          <w:bCs/>
        </w:rPr>
      </w:pPr>
      <w:r>
        <w:rPr>
          <w:b/>
          <w:bCs/>
        </w:rPr>
        <w:t>Suggesting Readings:</w:t>
      </w:r>
    </w:p>
    <w:p w14:paraId="320F0661" w14:textId="77777777" w:rsidR="00A77B37" w:rsidRPr="00A52B5B" w:rsidRDefault="00A77B37" w:rsidP="00A77B37">
      <w:pPr>
        <w:pStyle w:val="ListParagraph"/>
        <w:numPr>
          <w:ilvl w:val="0"/>
          <w:numId w:val="3"/>
        </w:numPr>
        <w:rPr>
          <w:b/>
          <w:bCs/>
        </w:rPr>
      </w:pPr>
      <w:r>
        <w:t xml:space="preserve">Singh, </w:t>
      </w:r>
      <w:proofErr w:type="spellStart"/>
      <w:r>
        <w:t>Upinder</w:t>
      </w:r>
      <w:proofErr w:type="spellEnd"/>
      <w:r>
        <w:t xml:space="preserve"> ed. Delhi: Ancient History, New Delhi: Social Science Press, 2006, pp. 185-92, 200-204.</w:t>
      </w:r>
    </w:p>
    <w:p w14:paraId="5481C3D6" w14:textId="70C3FA4F" w:rsidR="00A77B37" w:rsidRPr="00A77B37" w:rsidRDefault="00A77B37" w:rsidP="00A77B37">
      <w:pPr>
        <w:pStyle w:val="ListParagraph"/>
        <w:numPr>
          <w:ilvl w:val="0"/>
          <w:numId w:val="3"/>
        </w:numPr>
        <w:rPr>
          <w:b/>
          <w:bCs/>
        </w:rPr>
      </w:pPr>
      <w:r>
        <w:t xml:space="preserve">Kumar, Sunil. “Courts, Capitals and Kingship: Delhi and its Sultans in the Thirteenth and Fourteenth Centuries CE.” In Court Cultures in the Muslim World: Seventh to Nineteenth Centuries edited by Albrecht </w:t>
      </w:r>
      <w:proofErr w:type="spellStart"/>
      <w:r>
        <w:t>Fuess</w:t>
      </w:r>
      <w:proofErr w:type="spellEnd"/>
      <w:r>
        <w:t xml:space="preserve"> and Jan Peter Hartung, 123-148. London: Routledge,</w:t>
      </w:r>
    </w:p>
    <w:p w14:paraId="29668C6E" w14:textId="244AA674" w:rsidR="00A77B37" w:rsidRDefault="00A77B37" w:rsidP="00A77B37">
      <w:r>
        <w:rPr>
          <w:b/>
          <w:bCs/>
        </w:rPr>
        <w:t xml:space="preserve">Unit III: </w:t>
      </w:r>
      <w:r>
        <w:t xml:space="preserve">Settlements between the 11th and 16th century: Lal </w:t>
      </w:r>
      <w:proofErr w:type="spellStart"/>
      <w:r>
        <w:t>Kot</w:t>
      </w:r>
      <w:proofErr w:type="spellEnd"/>
      <w:r>
        <w:t>, Delhi Kuhn.</w:t>
      </w:r>
    </w:p>
    <w:p w14:paraId="5C53C3D8" w14:textId="77777777" w:rsidR="005D34A0" w:rsidRDefault="00F63C19" w:rsidP="005D34A0">
      <w:r>
        <w:t xml:space="preserve">This unit introduce about </w:t>
      </w:r>
      <w:r w:rsidR="005D34A0">
        <w:t xml:space="preserve">settlement between 11th and 16th century: Lal </w:t>
      </w:r>
      <w:proofErr w:type="spellStart"/>
      <w:r w:rsidR="005D34A0">
        <w:t>Kot</w:t>
      </w:r>
      <w:proofErr w:type="spellEnd"/>
      <w:r w:rsidR="005D34A0">
        <w:t>, Delhi Kuhn.</w:t>
      </w:r>
    </w:p>
    <w:p w14:paraId="32A67F9B" w14:textId="77777777" w:rsidR="00A77B37" w:rsidRDefault="00A77B37" w:rsidP="00A77B37">
      <w:pPr>
        <w:rPr>
          <w:b/>
          <w:bCs/>
        </w:rPr>
      </w:pPr>
      <w:r w:rsidRPr="005D49C6">
        <w:rPr>
          <w:b/>
          <w:bCs/>
        </w:rPr>
        <w:t>(Teaching Time: 3 weeks approx.)</w:t>
      </w:r>
    </w:p>
    <w:p w14:paraId="387A3CC5" w14:textId="77777777" w:rsidR="00A77B37" w:rsidRDefault="00A77B37" w:rsidP="00A77B37">
      <w:pPr>
        <w:rPr>
          <w:b/>
          <w:bCs/>
        </w:rPr>
      </w:pPr>
      <w:r>
        <w:rPr>
          <w:b/>
          <w:bCs/>
        </w:rPr>
        <w:t>Suggesting Readings:</w:t>
      </w:r>
    </w:p>
    <w:p w14:paraId="4EA21A8D" w14:textId="77777777" w:rsidR="00135BFD" w:rsidRPr="00135BFD" w:rsidRDefault="00135BFD" w:rsidP="00135BFD">
      <w:pPr>
        <w:pStyle w:val="ListParagraph"/>
        <w:numPr>
          <w:ilvl w:val="0"/>
          <w:numId w:val="5"/>
        </w:numPr>
        <w:rPr>
          <w:b/>
          <w:bCs/>
        </w:rPr>
      </w:pPr>
      <w:r>
        <w:t xml:space="preserve"> Singh, </w:t>
      </w:r>
      <w:proofErr w:type="spellStart"/>
      <w:r>
        <w:t>Upinder</w:t>
      </w:r>
      <w:proofErr w:type="spellEnd"/>
      <w:r>
        <w:t xml:space="preserve"> ed. Delhi: Ancient History, New Delhi: Social Science Press, 2006, pp. 185-92, 200-204. </w:t>
      </w:r>
    </w:p>
    <w:p w14:paraId="1038B657" w14:textId="77777777" w:rsidR="00135BFD" w:rsidRPr="00135BFD" w:rsidRDefault="00135BFD" w:rsidP="00135BFD">
      <w:pPr>
        <w:pStyle w:val="ListParagraph"/>
        <w:numPr>
          <w:ilvl w:val="0"/>
          <w:numId w:val="5"/>
        </w:numPr>
        <w:rPr>
          <w:b/>
          <w:bCs/>
        </w:rPr>
      </w:pPr>
      <w:r>
        <w:t xml:space="preserve"> </w:t>
      </w:r>
      <w:r w:rsidRPr="00135BFD">
        <w:rPr>
          <w:rFonts w:cs="Mangal"/>
          <w:cs/>
        </w:rPr>
        <w:t>उ</w:t>
      </w:r>
      <w:r w:rsidRPr="00135BFD">
        <w:rPr>
          <w:rFonts w:ascii="Tahoma" w:hAnsi="Tahoma" w:cs="Tahoma"/>
        </w:rPr>
        <w:t>�</w:t>
      </w:r>
      <w:r w:rsidRPr="00135BFD">
        <w:rPr>
          <w:rFonts w:cs="Mangal"/>
          <w:cs/>
        </w:rPr>
        <w:t>पन्दर सं</w:t>
      </w:r>
      <w:r>
        <w:t xml:space="preserve">, </w:t>
      </w:r>
      <w:r w:rsidRPr="00135BFD">
        <w:rPr>
          <w:rFonts w:ascii="Tahoma" w:hAnsi="Tahoma" w:cs="Tahoma"/>
        </w:rPr>
        <w:t>�</w:t>
      </w:r>
      <w:r w:rsidRPr="00135BFD">
        <w:rPr>
          <w:rFonts w:cs="Mangal"/>
          <w:cs/>
        </w:rPr>
        <w:t xml:space="preserve">दल्ल: प्राचीन इतह. </w:t>
      </w:r>
      <w:r>
        <w:t xml:space="preserve">New Delhi: Orient </w:t>
      </w:r>
      <w:proofErr w:type="spellStart"/>
      <w:r>
        <w:t>Blackswan</w:t>
      </w:r>
      <w:proofErr w:type="spellEnd"/>
      <w:r>
        <w:t xml:space="preserve">, 2010. • Singh, </w:t>
      </w:r>
      <w:proofErr w:type="spellStart"/>
      <w:r>
        <w:t>Upinder</w:t>
      </w:r>
      <w:proofErr w:type="spellEnd"/>
      <w:r>
        <w:t xml:space="preserve">. Ancient Delhi. 2nd </w:t>
      </w:r>
    </w:p>
    <w:p w14:paraId="3D8F0458" w14:textId="1EAC9D28" w:rsidR="00A77B37" w:rsidRPr="005B5D81" w:rsidRDefault="00135BFD" w:rsidP="00135BFD">
      <w:pPr>
        <w:pStyle w:val="ListParagraph"/>
        <w:numPr>
          <w:ilvl w:val="0"/>
          <w:numId w:val="5"/>
        </w:numPr>
        <w:rPr>
          <w:b/>
          <w:bCs/>
        </w:rPr>
      </w:pPr>
      <w:r>
        <w:t xml:space="preserve"> Spear, Percival. Twilight of the </w:t>
      </w:r>
      <w:proofErr w:type="spellStart"/>
      <w:r>
        <w:t>Mughuls</w:t>
      </w:r>
      <w:proofErr w:type="spellEnd"/>
      <w:r>
        <w:t xml:space="preserve">. In The Delhi Omnibus, Cambridge, Cambridge University Press, 2002, Chapter IV. </w:t>
      </w:r>
      <w:proofErr w:type="spellStart"/>
      <w:r>
        <w:t>edn</w:t>
      </w:r>
      <w:proofErr w:type="spellEnd"/>
      <w:r>
        <w:t>. New Delhi: Oxford University Press. Introduction; pp. 5-45, 46-62, 75-83.</w:t>
      </w:r>
    </w:p>
    <w:p w14:paraId="5F15B7A2" w14:textId="79F35FE7" w:rsidR="005B5D81" w:rsidRDefault="005B5D81" w:rsidP="005B5D81">
      <w:r>
        <w:rPr>
          <w:b/>
          <w:bCs/>
        </w:rPr>
        <w:t xml:space="preserve">Unit IV: </w:t>
      </w:r>
      <w:r>
        <w:t xml:space="preserve">The tomb, the garden and the river: Humayun’s tomb, Nizamuddin, </w:t>
      </w:r>
      <w:proofErr w:type="spellStart"/>
      <w:r>
        <w:t>Shahjahanabad</w:t>
      </w:r>
      <w:proofErr w:type="spellEnd"/>
      <w:r>
        <w:t>.</w:t>
      </w:r>
    </w:p>
    <w:p w14:paraId="08B315E2" w14:textId="57459AA6" w:rsidR="00DE0A94" w:rsidRDefault="00DE0A94" w:rsidP="005B5D81">
      <w:r>
        <w:t xml:space="preserve">This unit mention about the </w:t>
      </w:r>
      <w:proofErr w:type="spellStart"/>
      <w:r>
        <w:t>the</w:t>
      </w:r>
      <w:proofErr w:type="spellEnd"/>
      <w:r>
        <w:t xml:space="preserve"> tomb, the garden and the river and Humayun’s tomb, Nizamuddin, </w:t>
      </w:r>
      <w:proofErr w:type="spellStart"/>
      <w:r>
        <w:t>Shahjahanabad</w:t>
      </w:r>
      <w:proofErr w:type="spellEnd"/>
      <w:r w:rsidR="00F63C19">
        <w:t>.</w:t>
      </w:r>
    </w:p>
    <w:p w14:paraId="409F507F" w14:textId="0D9FD367" w:rsidR="005B5D81" w:rsidRDefault="005B5D81" w:rsidP="005B5D81">
      <w:pPr>
        <w:rPr>
          <w:b/>
          <w:bCs/>
        </w:rPr>
      </w:pPr>
      <w:r w:rsidRPr="005D49C6">
        <w:rPr>
          <w:b/>
          <w:bCs/>
        </w:rPr>
        <w:t xml:space="preserve">(Teaching Time: </w:t>
      </w:r>
      <w:r w:rsidR="00C240F0">
        <w:rPr>
          <w:b/>
          <w:bCs/>
        </w:rPr>
        <w:t>02</w:t>
      </w:r>
      <w:r w:rsidRPr="005D49C6">
        <w:rPr>
          <w:b/>
          <w:bCs/>
        </w:rPr>
        <w:t xml:space="preserve"> weeks approx.)</w:t>
      </w:r>
    </w:p>
    <w:p w14:paraId="3ADFF652" w14:textId="3CF98DFE" w:rsidR="005B5D81" w:rsidRDefault="005B5D81" w:rsidP="005B5D81">
      <w:pPr>
        <w:rPr>
          <w:b/>
          <w:bCs/>
        </w:rPr>
      </w:pPr>
      <w:r>
        <w:rPr>
          <w:b/>
          <w:bCs/>
        </w:rPr>
        <w:t>Suggesting Readings:</w:t>
      </w:r>
    </w:p>
    <w:p w14:paraId="09B53C89" w14:textId="77777777" w:rsidR="0001143A" w:rsidRPr="0001143A" w:rsidRDefault="0001143A" w:rsidP="005B5D81">
      <w:pPr>
        <w:pStyle w:val="ListParagraph"/>
        <w:numPr>
          <w:ilvl w:val="0"/>
          <w:numId w:val="6"/>
        </w:numPr>
        <w:rPr>
          <w:b/>
          <w:bCs/>
        </w:rPr>
      </w:pPr>
      <w:r>
        <w:t xml:space="preserve">Dalrymple, William. City of Djinns: A Year in </w:t>
      </w:r>
      <w:proofErr w:type="spellStart"/>
      <w:r>
        <w:t>Delhi.New</w:t>
      </w:r>
      <w:proofErr w:type="spellEnd"/>
      <w:r>
        <w:t xml:space="preserve"> Delhi: Penguin, 2004.Chapter II., pp. 27-37. </w:t>
      </w:r>
    </w:p>
    <w:p w14:paraId="5B8B3251" w14:textId="77777777" w:rsidR="0001143A" w:rsidRPr="0001143A" w:rsidRDefault="0001143A" w:rsidP="005B5D81">
      <w:pPr>
        <w:pStyle w:val="ListParagraph"/>
        <w:numPr>
          <w:ilvl w:val="0"/>
          <w:numId w:val="6"/>
        </w:numPr>
        <w:rPr>
          <w:b/>
          <w:bCs/>
        </w:rPr>
      </w:pPr>
      <w:r>
        <w:t xml:space="preserve"> Gupta, </w:t>
      </w:r>
      <w:proofErr w:type="spellStart"/>
      <w:r>
        <w:t>Narayani</w:t>
      </w:r>
      <w:proofErr w:type="spellEnd"/>
      <w:r>
        <w:t xml:space="preserve">. Delhi between the Empires: 1803-1931, New Delhi: Oxford University Press, 1999. pp. 20-31, 50-66, 160-82. </w:t>
      </w:r>
    </w:p>
    <w:p w14:paraId="54F92210" w14:textId="77777777" w:rsidR="0001143A" w:rsidRPr="0001143A" w:rsidRDefault="0001143A" w:rsidP="005B5D81">
      <w:pPr>
        <w:pStyle w:val="ListParagraph"/>
        <w:numPr>
          <w:ilvl w:val="0"/>
          <w:numId w:val="6"/>
        </w:numPr>
        <w:rPr>
          <w:b/>
          <w:bCs/>
        </w:rPr>
      </w:pPr>
      <w:r>
        <w:t xml:space="preserve"> Koch, Ebba. “The Mughal Waterfront Garden.” In Mughal Art and Imperial Ideology by Ebba Koch, 183-202. New Delhi: Oxford University Press, 2001. </w:t>
      </w:r>
    </w:p>
    <w:p w14:paraId="4CC919D2" w14:textId="3DAAFA21" w:rsidR="005B5D81" w:rsidRPr="00BA0621" w:rsidRDefault="0001143A" w:rsidP="005B5D81">
      <w:pPr>
        <w:pStyle w:val="ListParagraph"/>
        <w:numPr>
          <w:ilvl w:val="0"/>
          <w:numId w:val="6"/>
        </w:numPr>
        <w:rPr>
          <w:b/>
          <w:bCs/>
        </w:rPr>
      </w:pPr>
      <w:r>
        <w:t xml:space="preserve"> Kumar, Sunil. “Courts, Capitals and Kingship: Delhi and its Sultans in the Thirteenth and Fourteenth Centuries CE.” In Court Cultures in the Muslim World: Seventh to Nineteenth Centuries edited by Albrecht </w:t>
      </w:r>
      <w:proofErr w:type="spellStart"/>
      <w:r>
        <w:t>Fuess</w:t>
      </w:r>
      <w:proofErr w:type="spellEnd"/>
      <w:r>
        <w:t xml:space="preserve"> and Jan Peter Hartung, 123-148. London: Routledge,</w:t>
      </w:r>
    </w:p>
    <w:p w14:paraId="634AA70B" w14:textId="46AEB534" w:rsidR="00BA0621" w:rsidRDefault="00BA0621" w:rsidP="00BA0621">
      <w:r>
        <w:rPr>
          <w:b/>
          <w:bCs/>
        </w:rPr>
        <w:t xml:space="preserve">Unit V: </w:t>
      </w:r>
      <w:proofErr w:type="spellStart"/>
      <w:r>
        <w:t>Shahjahanabad</w:t>
      </w:r>
      <w:proofErr w:type="spellEnd"/>
      <w:r>
        <w:t xml:space="preserve">: </w:t>
      </w:r>
      <w:r w:rsidR="005F6FCF">
        <w:t>The</w:t>
      </w:r>
      <w:r>
        <w:t xml:space="preserve"> Company and the Mughal Court; Delhi College; Ghalib</w:t>
      </w:r>
    </w:p>
    <w:p w14:paraId="376A5B3E" w14:textId="68E9E6F7" w:rsidR="005F6FCF" w:rsidRDefault="001A2163" w:rsidP="00BA0621">
      <w:r>
        <w:t xml:space="preserve">This unit also discus about </w:t>
      </w:r>
      <w:r w:rsidR="005F6FCF">
        <w:t xml:space="preserve">Delhi went into something of an eclipse from the time of Humayun's Delhi to the accession of Shahjahan, the great Mughal builder who in 1648 built </w:t>
      </w:r>
      <w:proofErr w:type="spellStart"/>
      <w:r w:rsidR="005F6FCF">
        <w:t>Shahjahanabad</w:t>
      </w:r>
      <w:proofErr w:type="spellEnd"/>
      <w:r w:rsidR="005F6FCF">
        <w:t>, the seventh city of Delhi. Shahjahan's Delhi, is today more visible than all the Delhi's built before it.</w:t>
      </w:r>
    </w:p>
    <w:p w14:paraId="0D8872C6" w14:textId="77777777" w:rsidR="005F6FCF" w:rsidRDefault="005F6FCF" w:rsidP="00BA0621"/>
    <w:p w14:paraId="7DD1DF5E" w14:textId="77777777" w:rsidR="00FC0E12" w:rsidRDefault="00FC0E12" w:rsidP="00BA0621">
      <w:pPr>
        <w:rPr>
          <w:b/>
          <w:bCs/>
        </w:rPr>
      </w:pPr>
    </w:p>
    <w:p w14:paraId="4BB2559D" w14:textId="29F6D92A" w:rsidR="00BA0621" w:rsidRDefault="00BA0621" w:rsidP="00BA0621">
      <w:pPr>
        <w:rPr>
          <w:b/>
          <w:bCs/>
        </w:rPr>
      </w:pPr>
      <w:r w:rsidRPr="005D49C6">
        <w:rPr>
          <w:b/>
          <w:bCs/>
        </w:rPr>
        <w:lastRenderedPageBreak/>
        <w:t xml:space="preserve">(Teaching Time: </w:t>
      </w:r>
      <w:r w:rsidR="00FC0E12">
        <w:rPr>
          <w:b/>
          <w:bCs/>
        </w:rPr>
        <w:t>02</w:t>
      </w:r>
      <w:r w:rsidRPr="005D49C6">
        <w:rPr>
          <w:b/>
          <w:bCs/>
        </w:rPr>
        <w:t xml:space="preserve"> weeks approx.)</w:t>
      </w:r>
    </w:p>
    <w:p w14:paraId="138B4C98" w14:textId="6206248E" w:rsidR="00BA0621" w:rsidRDefault="00BA0621" w:rsidP="00BA0621">
      <w:pPr>
        <w:rPr>
          <w:b/>
          <w:bCs/>
        </w:rPr>
      </w:pPr>
      <w:r>
        <w:rPr>
          <w:b/>
          <w:bCs/>
        </w:rPr>
        <w:t>Suggesting Readings:</w:t>
      </w:r>
    </w:p>
    <w:p w14:paraId="20B5446A" w14:textId="5FDBFD12" w:rsidR="00BA0621" w:rsidRPr="00BA0621" w:rsidRDefault="00BA0621" w:rsidP="00BA0621">
      <w:pPr>
        <w:pStyle w:val="ListParagraph"/>
        <w:numPr>
          <w:ilvl w:val="0"/>
          <w:numId w:val="7"/>
        </w:numPr>
        <w:rPr>
          <w:b/>
          <w:bCs/>
        </w:rPr>
      </w:pPr>
      <w:proofErr w:type="spellStart"/>
      <w:r>
        <w:t>Naim</w:t>
      </w:r>
      <w:proofErr w:type="spellEnd"/>
      <w:r>
        <w:t xml:space="preserve">, C. M. “Ghalib’s Delhi: A Shamelessly Revisionist Look at Two Popular Metaphors.” In Urdu Texts and Contexts: The Selected Essays of C. M. </w:t>
      </w:r>
      <w:proofErr w:type="spellStart"/>
      <w:r>
        <w:t>Naim</w:t>
      </w:r>
      <w:proofErr w:type="spellEnd"/>
      <w:r>
        <w:t xml:space="preserve">, by C. M. </w:t>
      </w:r>
      <w:proofErr w:type="spellStart"/>
      <w:r>
        <w:t>Naim</w:t>
      </w:r>
      <w:proofErr w:type="spellEnd"/>
      <w:r>
        <w:t>, 250-279. New Delhi: Permanent Black, 2004</w:t>
      </w:r>
    </w:p>
    <w:p w14:paraId="7C7557FB" w14:textId="77777777" w:rsidR="00BA0621" w:rsidRPr="00BA0621" w:rsidRDefault="00BA0621" w:rsidP="00BA0621">
      <w:pPr>
        <w:pStyle w:val="ListParagraph"/>
        <w:numPr>
          <w:ilvl w:val="0"/>
          <w:numId w:val="7"/>
        </w:numPr>
        <w:rPr>
          <w:b/>
          <w:bCs/>
        </w:rPr>
      </w:pPr>
      <w:r>
        <w:t xml:space="preserve">Dalrymple, William. City of Djinns: A Year in </w:t>
      </w:r>
      <w:proofErr w:type="spellStart"/>
      <w:r>
        <w:t>Delhi.New</w:t>
      </w:r>
      <w:proofErr w:type="spellEnd"/>
      <w:r>
        <w:t xml:space="preserve"> Delhi: Penguin, 2004.Chapter II., pp. 27-37. </w:t>
      </w:r>
    </w:p>
    <w:p w14:paraId="00CD21EB" w14:textId="77777777" w:rsidR="00BA0621" w:rsidRPr="00BA0621" w:rsidRDefault="00BA0621" w:rsidP="00BA0621">
      <w:pPr>
        <w:pStyle w:val="ListParagraph"/>
        <w:numPr>
          <w:ilvl w:val="0"/>
          <w:numId w:val="7"/>
        </w:numPr>
        <w:rPr>
          <w:b/>
          <w:bCs/>
        </w:rPr>
      </w:pPr>
      <w:r>
        <w:t xml:space="preserve">Gupta, </w:t>
      </w:r>
      <w:proofErr w:type="spellStart"/>
      <w:r>
        <w:t>Narayani</w:t>
      </w:r>
      <w:proofErr w:type="spellEnd"/>
      <w:r>
        <w:t xml:space="preserve">. Delhi between the Empires: 1803-1931, New Delhi: Oxford University Press, 1999. pp. 20-31, 50-66, 160-82. </w:t>
      </w:r>
    </w:p>
    <w:p w14:paraId="6943B3DD" w14:textId="77777777" w:rsidR="00BA0621" w:rsidRPr="00BA0621" w:rsidRDefault="00BA0621" w:rsidP="00BA0621">
      <w:pPr>
        <w:pStyle w:val="ListParagraph"/>
        <w:numPr>
          <w:ilvl w:val="0"/>
          <w:numId w:val="7"/>
        </w:numPr>
        <w:rPr>
          <w:b/>
          <w:bCs/>
        </w:rPr>
      </w:pPr>
      <w:r>
        <w:t xml:space="preserve"> Koch, Ebba. “The Mughal Waterfront Garden.” In Mughal Art and Imperial Ideology by Ebba Koch, 183-202. New Delhi: Oxford University Press, 2001. </w:t>
      </w:r>
    </w:p>
    <w:p w14:paraId="15888963" w14:textId="367E7B09" w:rsidR="00BA0621" w:rsidRPr="0037532A" w:rsidRDefault="00BA0621" w:rsidP="00BA0621">
      <w:pPr>
        <w:pStyle w:val="ListParagraph"/>
        <w:numPr>
          <w:ilvl w:val="0"/>
          <w:numId w:val="7"/>
        </w:numPr>
        <w:rPr>
          <w:b/>
          <w:bCs/>
        </w:rPr>
      </w:pPr>
      <w:r>
        <w:t xml:space="preserve"> Kumar, Sunil. “Courts, Capitals and Kingship: Delhi and its Sultans in the Thirteenth and Fourteenth Centuries CE.” In Court Cultures in the Muslim World: Seventh to Nineteenth Centuries edited by Albrecht </w:t>
      </w:r>
      <w:proofErr w:type="spellStart"/>
      <w:r>
        <w:t>Fuess</w:t>
      </w:r>
      <w:proofErr w:type="spellEnd"/>
      <w:r>
        <w:t xml:space="preserve"> and Jan Peter Hartung, 123-148. London: Routledge, 2011</w:t>
      </w:r>
    </w:p>
    <w:p w14:paraId="2D42EB67" w14:textId="3DF3C666" w:rsidR="0037532A" w:rsidRDefault="0037532A" w:rsidP="0037532A">
      <w:pPr>
        <w:pStyle w:val="ListParagraph"/>
      </w:pPr>
      <w:r>
        <w:rPr>
          <w:b/>
          <w:bCs/>
        </w:rPr>
        <w:t xml:space="preserve">Unit VI:  </w:t>
      </w:r>
      <w:r>
        <w:t>1857 in Delhi</w:t>
      </w:r>
    </w:p>
    <w:p w14:paraId="4C0F0581" w14:textId="2B16C921" w:rsidR="00973242" w:rsidRDefault="00973242" w:rsidP="0037532A">
      <w:pPr>
        <w:pStyle w:val="ListParagraph"/>
      </w:pPr>
      <w:r w:rsidRPr="00973242">
        <w:t>This unit discuss about</w:t>
      </w:r>
      <w:r>
        <w:rPr>
          <w:b/>
          <w:bCs/>
        </w:rPr>
        <w:t xml:space="preserve"> </w:t>
      </w:r>
      <w:r>
        <w:rPr>
          <w:rFonts w:ascii="Arial" w:hAnsi="Arial" w:cs="Arial"/>
          <w:color w:val="202122"/>
          <w:sz w:val="21"/>
          <w:szCs w:val="21"/>
          <w:shd w:val="clear" w:color="auto" w:fill="FFFFFF"/>
        </w:rPr>
        <w:t>the rebellion posed a considerable threat to British power in that region</w:t>
      </w:r>
      <w:r w:rsidR="00AF2E13">
        <w:rPr>
          <w:rFonts w:ascii="Arial" w:hAnsi="Arial" w:cs="Arial"/>
          <w:color w:val="202122"/>
          <w:sz w:val="21"/>
          <w:szCs w:val="21"/>
          <w:shd w:val="clear" w:color="auto" w:fill="FFFFFF"/>
        </w:rPr>
        <w:t xml:space="preserve"> </w:t>
      </w:r>
      <w:r w:rsidR="00AF2E13" w:rsidRPr="00AF2E13">
        <w:rPr>
          <w:rFonts w:ascii="Arial" w:hAnsi="Arial" w:cs="Arial"/>
          <w:color w:val="202122"/>
          <w:sz w:val="21"/>
          <w:szCs w:val="21"/>
          <w:shd w:val="clear" w:color="auto" w:fill="FFFFFF"/>
        </w:rPr>
        <w:t>and was contained only with the rebels' defeat in Gwalior on 20 June 1858.</w:t>
      </w:r>
    </w:p>
    <w:p w14:paraId="73B6D2D5" w14:textId="7CB16EC7" w:rsidR="00973242" w:rsidRDefault="00973242" w:rsidP="0037532A">
      <w:pPr>
        <w:pStyle w:val="ListParagraph"/>
      </w:pPr>
    </w:p>
    <w:p w14:paraId="35DE1CBF" w14:textId="075E0369" w:rsidR="0037532A" w:rsidRDefault="0037532A" w:rsidP="0037532A">
      <w:pPr>
        <w:rPr>
          <w:b/>
          <w:bCs/>
        </w:rPr>
      </w:pPr>
      <w:r w:rsidRPr="005D49C6">
        <w:rPr>
          <w:b/>
          <w:bCs/>
        </w:rPr>
        <w:t xml:space="preserve">(Teaching Time: </w:t>
      </w:r>
      <w:r w:rsidR="007368FF">
        <w:rPr>
          <w:b/>
          <w:bCs/>
        </w:rPr>
        <w:t>02</w:t>
      </w:r>
      <w:r w:rsidRPr="005D49C6">
        <w:rPr>
          <w:b/>
          <w:bCs/>
        </w:rPr>
        <w:t xml:space="preserve"> weeks approx.)</w:t>
      </w:r>
    </w:p>
    <w:p w14:paraId="25019C63" w14:textId="49D94301" w:rsidR="0037532A" w:rsidRDefault="0037532A" w:rsidP="0037532A">
      <w:pPr>
        <w:rPr>
          <w:b/>
          <w:bCs/>
        </w:rPr>
      </w:pPr>
      <w:r>
        <w:rPr>
          <w:b/>
          <w:bCs/>
        </w:rPr>
        <w:t>Suggesting Readings:</w:t>
      </w:r>
    </w:p>
    <w:p w14:paraId="2EEC4A51" w14:textId="2BEDF78E" w:rsidR="0037532A" w:rsidRPr="00E82632" w:rsidRDefault="00AA0E0B" w:rsidP="0037532A">
      <w:pPr>
        <w:pStyle w:val="ListParagraph"/>
        <w:numPr>
          <w:ilvl w:val="0"/>
          <w:numId w:val="8"/>
        </w:numPr>
        <w:rPr>
          <w:b/>
          <w:bCs/>
        </w:rPr>
      </w:pPr>
      <w:proofErr w:type="spellStart"/>
      <w:r>
        <w:t>Lahiri</w:t>
      </w:r>
      <w:proofErr w:type="spellEnd"/>
      <w:r>
        <w:t xml:space="preserve">, </w:t>
      </w:r>
      <w:proofErr w:type="spellStart"/>
      <w:r>
        <w:t>Nayanjot</w:t>
      </w:r>
      <w:proofErr w:type="spellEnd"/>
      <w:r>
        <w:t>. “Commemorating and Remembering 1857: The Revolt in Delhi and its Afterlife.” World Archaeology, 35:1, (2003): 35-60</w:t>
      </w:r>
      <w:r w:rsidR="00E82632">
        <w:t>.</w:t>
      </w:r>
    </w:p>
    <w:p w14:paraId="633ED53B" w14:textId="5020B083" w:rsidR="00E82632" w:rsidRPr="00E82632" w:rsidRDefault="00E82632" w:rsidP="0037532A">
      <w:pPr>
        <w:pStyle w:val="ListParagraph"/>
        <w:numPr>
          <w:ilvl w:val="0"/>
          <w:numId w:val="8"/>
        </w:numPr>
        <w:rPr>
          <w:b/>
          <w:bCs/>
        </w:rPr>
      </w:pPr>
      <w:proofErr w:type="spellStart"/>
      <w:r>
        <w:t>Naim</w:t>
      </w:r>
      <w:proofErr w:type="spellEnd"/>
      <w:r>
        <w:t xml:space="preserve">, C. M. “Ghalib’s Delhi: A Shamelessly Revisionist Look at Two Popular Metaphors.” In Urdu Texts and Contexts: The Selected Essays of C. M. </w:t>
      </w:r>
      <w:proofErr w:type="spellStart"/>
      <w:r>
        <w:t>Naim</w:t>
      </w:r>
      <w:proofErr w:type="spellEnd"/>
      <w:r>
        <w:t xml:space="preserve">, by C. M. </w:t>
      </w:r>
      <w:proofErr w:type="spellStart"/>
      <w:r>
        <w:t>Naim</w:t>
      </w:r>
      <w:proofErr w:type="spellEnd"/>
      <w:r>
        <w:t>, 250-279. New Delhi: Permanent Black, 2004</w:t>
      </w:r>
    </w:p>
    <w:p w14:paraId="112068CF" w14:textId="3750E4C0" w:rsidR="00E82632" w:rsidRDefault="00E82632" w:rsidP="00E82632">
      <w:r>
        <w:rPr>
          <w:b/>
          <w:bCs/>
        </w:rPr>
        <w:t xml:space="preserve">Unit VII: </w:t>
      </w:r>
      <w:r>
        <w:t>From the 1877 Durbar to the New Imperial Capital</w:t>
      </w:r>
    </w:p>
    <w:p w14:paraId="356478D6" w14:textId="59835A55" w:rsidR="000602A6" w:rsidRDefault="000602A6" w:rsidP="00E82632">
      <w:r>
        <w:t>This Unit describe</w:t>
      </w:r>
      <w:r w:rsidR="003419FB">
        <w:t xml:space="preserve"> the </w:t>
      </w:r>
      <w:r w:rsidR="006B4633">
        <w:t>1877 Delhi durbar and every perspective of Imperial capital.</w:t>
      </w:r>
    </w:p>
    <w:p w14:paraId="16E4A464" w14:textId="6C509462" w:rsidR="00E82632" w:rsidRDefault="00E82632" w:rsidP="00E82632">
      <w:pPr>
        <w:rPr>
          <w:b/>
          <w:bCs/>
        </w:rPr>
      </w:pPr>
      <w:r w:rsidRPr="005D49C6">
        <w:rPr>
          <w:b/>
          <w:bCs/>
        </w:rPr>
        <w:t xml:space="preserve">(Teaching Time: </w:t>
      </w:r>
      <w:r w:rsidR="00B57FFA">
        <w:rPr>
          <w:b/>
          <w:bCs/>
        </w:rPr>
        <w:t xml:space="preserve">01 </w:t>
      </w:r>
      <w:r w:rsidRPr="005D49C6">
        <w:rPr>
          <w:b/>
          <w:bCs/>
        </w:rPr>
        <w:t>weeks approx.)</w:t>
      </w:r>
    </w:p>
    <w:p w14:paraId="5C835350" w14:textId="77777777" w:rsidR="00E82632" w:rsidRDefault="00E82632" w:rsidP="00E82632">
      <w:pPr>
        <w:rPr>
          <w:b/>
          <w:bCs/>
        </w:rPr>
      </w:pPr>
      <w:r>
        <w:rPr>
          <w:b/>
          <w:bCs/>
        </w:rPr>
        <w:t>Suggesting Readings:</w:t>
      </w:r>
    </w:p>
    <w:p w14:paraId="20311AFA" w14:textId="2198F5CE" w:rsidR="00E82632" w:rsidRDefault="00083609" w:rsidP="00E82632">
      <w:pPr>
        <w:pStyle w:val="ListParagraph"/>
        <w:numPr>
          <w:ilvl w:val="0"/>
          <w:numId w:val="9"/>
        </w:numPr>
      </w:pPr>
      <w:r>
        <w:t>Metcalf, Thomas. Imperial Visions, New Delhi: Oxford University Press, 1989. Chap. 7, pp. 211-239</w:t>
      </w:r>
    </w:p>
    <w:p w14:paraId="041AA54C" w14:textId="0E29F8FB" w:rsidR="00083609" w:rsidRDefault="00083609" w:rsidP="00E82632">
      <w:pPr>
        <w:pStyle w:val="ListParagraph"/>
        <w:numPr>
          <w:ilvl w:val="0"/>
          <w:numId w:val="9"/>
        </w:numPr>
      </w:pPr>
      <w:r>
        <w:t xml:space="preserve">Spear, Percival. Twilight of the </w:t>
      </w:r>
      <w:proofErr w:type="spellStart"/>
      <w:r>
        <w:t>Mughuls</w:t>
      </w:r>
      <w:proofErr w:type="spellEnd"/>
      <w:r>
        <w:t>. In The Delhi Omnibus, Cambridge, Cambridge University Press, 2002, Chapter I</w:t>
      </w:r>
      <w:r w:rsidR="00665048">
        <w:t>.</w:t>
      </w:r>
    </w:p>
    <w:p w14:paraId="7B417E89" w14:textId="72512EB6" w:rsidR="00665048" w:rsidRDefault="00665048" w:rsidP="00665048">
      <w:r>
        <w:rPr>
          <w:b/>
          <w:bCs/>
        </w:rPr>
        <w:t xml:space="preserve">Unit </w:t>
      </w:r>
      <w:r w:rsidR="00532459">
        <w:rPr>
          <w:b/>
          <w:bCs/>
        </w:rPr>
        <w:t>VIII:</w:t>
      </w:r>
      <w:r>
        <w:rPr>
          <w:b/>
          <w:bCs/>
        </w:rPr>
        <w:t xml:space="preserve"> </w:t>
      </w:r>
      <w:r>
        <w:t>Partition, Violence and Relocation: 1947 onwards</w:t>
      </w:r>
      <w:r w:rsidR="00532459">
        <w:t>.</w:t>
      </w:r>
    </w:p>
    <w:p w14:paraId="44D15958" w14:textId="0B7B200E" w:rsidR="00532459" w:rsidRDefault="00532459" w:rsidP="00665048">
      <w:r>
        <w:t>This unit describes Partition and relocation of the 1947 onwards.</w:t>
      </w:r>
    </w:p>
    <w:p w14:paraId="7E19E6AF" w14:textId="023BCF0B" w:rsidR="00665048" w:rsidRDefault="00665048" w:rsidP="00665048">
      <w:pPr>
        <w:rPr>
          <w:b/>
          <w:bCs/>
        </w:rPr>
      </w:pPr>
      <w:r w:rsidRPr="005D49C6">
        <w:rPr>
          <w:b/>
          <w:bCs/>
        </w:rPr>
        <w:t xml:space="preserve">(Teaching Time: </w:t>
      </w:r>
      <w:r w:rsidR="007107E9">
        <w:rPr>
          <w:b/>
          <w:bCs/>
        </w:rPr>
        <w:t>01</w:t>
      </w:r>
      <w:r w:rsidRPr="005D49C6">
        <w:rPr>
          <w:b/>
          <w:bCs/>
        </w:rPr>
        <w:t xml:space="preserve"> weeks approx.)</w:t>
      </w:r>
    </w:p>
    <w:p w14:paraId="42B3BE56" w14:textId="0499BF57" w:rsidR="00665048" w:rsidRDefault="00665048" w:rsidP="00665048">
      <w:pPr>
        <w:rPr>
          <w:b/>
          <w:bCs/>
        </w:rPr>
      </w:pPr>
      <w:r>
        <w:rPr>
          <w:b/>
          <w:bCs/>
        </w:rPr>
        <w:t>Suggesting Readings:</w:t>
      </w:r>
    </w:p>
    <w:p w14:paraId="194E14C5" w14:textId="75BC57E4" w:rsidR="00665048" w:rsidRPr="00665048" w:rsidRDefault="00665048" w:rsidP="00665048">
      <w:pPr>
        <w:pStyle w:val="ListParagraph"/>
        <w:numPr>
          <w:ilvl w:val="0"/>
          <w:numId w:val="10"/>
        </w:numPr>
        <w:rPr>
          <w:b/>
          <w:bCs/>
        </w:rPr>
      </w:pPr>
      <w:proofErr w:type="spellStart"/>
      <w:r>
        <w:lastRenderedPageBreak/>
        <w:t>Lahiri</w:t>
      </w:r>
      <w:proofErr w:type="spellEnd"/>
      <w:r>
        <w:t xml:space="preserve">, </w:t>
      </w:r>
      <w:proofErr w:type="spellStart"/>
      <w:r>
        <w:t>Nayanjot</w:t>
      </w:r>
      <w:proofErr w:type="spellEnd"/>
      <w:r>
        <w:t>. “Commemorating and Remembering 1857: The Revolt in Delhi and its Afterlife.” World Archaeology, 35:1, (2003): 35-60.</w:t>
      </w:r>
    </w:p>
    <w:p w14:paraId="21554A52" w14:textId="77777777" w:rsidR="00D86C31" w:rsidRPr="00D86C31" w:rsidRDefault="00D86C31" w:rsidP="00665048">
      <w:pPr>
        <w:pStyle w:val="ListParagraph"/>
        <w:numPr>
          <w:ilvl w:val="0"/>
          <w:numId w:val="10"/>
        </w:numPr>
        <w:rPr>
          <w:b/>
          <w:bCs/>
        </w:rPr>
      </w:pPr>
      <w:r>
        <w:t xml:space="preserve">Pandey, Gyan. Remembering Partition. Cambridge: Cambridge University Press, 2001. Chapter 6, pp. 121-51. </w:t>
      </w:r>
    </w:p>
    <w:p w14:paraId="5584AC1B" w14:textId="6010EF26" w:rsidR="00665048" w:rsidRPr="00D86C31" w:rsidRDefault="00D86C31" w:rsidP="00665048">
      <w:pPr>
        <w:pStyle w:val="ListParagraph"/>
        <w:numPr>
          <w:ilvl w:val="0"/>
          <w:numId w:val="10"/>
        </w:numPr>
        <w:rPr>
          <w:b/>
          <w:bCs/>
        </w:rPr>
      </w:pPr>
      <w:r>
        <w:t xml:space="preserve"> </w:t>
      </w:r>
      <w:proofErr w:type="spellStart"/>
      <w:r>
        <w:t>Pernau</w:t>
      </w:r>
      <w:proofErr w:type="spellEnd"/>
      <w:r>
        <w:t xml:space="preserve">, </w:t>
      </w:r>
      <w:proofErr w:type="spellStart"/>
      <w:r>
        <w:t>Margrited</w:t>
      </w:r>
      <w:proofErr w:type="spellEnd"/>
      <w:r>
        <w:t>. The Delhi College. New Delhi: Oxford University Press, 2006; Introduction, pp. 1-32.</w:t>
      </w:r>
    </w:p>
    <w:p w14:paraId="04B369F6" w14:textId="0A444E45" w:rsidR="00D86C31" w:rsidRPr="005F628E" w:rsidRDefault="00D86C31" w:rsidP="00665048">
      <w:pPr>
        <w:pStyle w:val="ListParagraph"/>
        <w:numPr>
          <w:ilvl w:val="0"/>
          <w:numId w:val="10"/>
        </w:numPr>
        <w:rPr>
          <w:b/>
          <w:bCs/>
        </w:rPr>
      </w:pPr>
      <w:proofErr w:type="spellStart"/>
      <w:r>
        <w:t>Tarlo</w:t>
      </w:r>
      <w:proofErr w:type="spellEnd"/>
      <w:r>
        <w:t>, Emma. “Welcome to History: A Resettlement Colony in the Making.” In Delhi: Urban Spaces and Human Destinies, edited by Veronique Dupont et al,75-94. Delhi: Manohar, 2000.</w:t>
      </w:r>
    </w:p>
    <w:p w14:paraId="0EE2B2C6" w14:textId="77777777" w:rsidR="005F628E" w:rsidRPr="005F628E" w:rsidRDefault="005F628E" w:rsidP="005F628E">
      <w:pPr>
        <w:pStyle w:val="ListParagraph"/>
        <w:rPr>
          <w:b/>
          <w:bCs/>
          <w:sz w:val="24"/>
          <w:szCs w:val="24"/>
        </w:rPr>
      </w:pPr>
      <w:r w:rsidRPr="005F628E">
        <w:rPr>
          <w:b/>
          <w:bCs/>
        </w:rPr>
        <w:t>Assessment Methods:</w:t>
      </w:r>
      <w:r>
        <w:t xml:space="preserve"> Students will be regularly assessed for their grasp on themes through debates and discussions covered in class. One written assignment and one presentation of the report prepared by students individually or in a moderate sized group will be used for final grading of the students.</w:t>
      </w:r>
    </w:p>
    <w:p w14:paraId="29F1049D" w14:textId="77777777" w:rsidR="005F628E" w:rsidRPr="005F628E" w:rsidRDefault="005F628E" w:rsidP="005F628E">
      <w:pPr>
        <w:pStyle w:val="ListParagraph"/>
        <w:rPr>
          <w:b/>
          <w:bCs/>
        </w:rPr>
      </w:pPr>
      <w:r w:rsidRPr="005F628E">
        <w:rPr>
          <w:b/>
          <w:bCs/>
        </w:rPr>
        <w:t xml:space="preserve"> Internal Assessment: 25 Marks </w:t>
      </w:r>
    </w:p>
    <w:p w14:paraId="1E4AB4BB" w14:textId="77777777" w:rsidR="005F628E" w:rsidRPr="005F628E" w:rsidRDefault="005F628E" w:rsidP="005F628E">
      <w:pPr>
        <w:pStyle w:val="ListParagraph"/>
        <w:rPr>
          <w:b/>
          <w:bCs/>
        </w:rPr>
      </w:pPr>
      <w:r w:rsidRPr="005F628E">
        <w:rPr>
          <w:b/>
          <w:bCs/>
        </w:rPr>
        <w:t xml:space="preserve">Written Exam: 75 Marks </w:t>
      </w:r>
    </w:p>
    <w:p w14:paraId="33043E87" w14:textId="77777777" w:rsidR="005F628E" w:rsidRPr="005F628E" w:rsidRDefault="005F628E" w:rsidP="005F628E">
      <w:pPr>
        <w:pStyle w:val="ListParagraph"/>
        <w:rPr>
          <w:b/>
          <w:bCs/>
        </w:rPr>
      </w:pPr>
      <w:r w:rsidRPr="005F628E">
        <w:rPr>
          <w:b/>
          <w:bCs/>
        </w:rPr>
        <w:t>Total: 100 Marks</w:t>
      </w:r>
    </w:p>
    <w:p w14:paraId="44DF9DA8" w14:textId="77777777" w:rsidR="005F628E" w:rsidRDefault="005F628E" w:rsidP="005F628E">
      <w:pPr>
        <w:pStyle w:val="ListParagraph"/>
      </w:pPr>
    </w:p>
    <w:p w14:paraId="797B6BC7" w14:textId="77777777" w:rsidR="005F628E" w:rsidRPr="00665048" w:rsidRDefault="005F628E" w:rsidP="005F628E">
      <w:pPr>
        <w:pStyle w:val="ListParagraph"/>
        <w:rPr>
          <w:b/>
          <w:bCs/>
        </w:rPr>
      </w:pPr>
    </w:p>
    <w:p w14:paraId="5F84A0CE" w14:textId="77777777" w:rsidR="00665048" w:rsidRDefault="00665048" w:rsidP="00665048"/>
    <w:p w14:paraId="67A41F0A" w14:textId="77777777" w:rsidR="00665048" w:rsidRDefault="00665048" w:rsidP="00665048"/>
    <w:p w14:paraId="786758EE" w14:textId="77777777" w:rsidR="00E82632" w:rsidRPr="00E82632" w:rsidRDefault="00E82632" w:rsidP="00E82632">
      <w:pPr>
        <w:rPr>
          <w:b/>
          <w:bCs/>
        </w:rPr>
      </w:pPr>
    </w:p>
    <w:p w14:paraId="774BE6B1" w14:textId="77777777" w:rsidR="0037532A" w:rsidRPr="00BA0621" w:rsidRDefault="0037532A" w:rsidP="0037532A">
      <w:pPr>
        <w:pStyle w:val="ListParagraph"/>
        <w:rPr>
          <w:b/>
          <w:bCs/>
        </w:rPr>
      </w:pPr>
    </w:p>
    <w:p w14:paraId="02888DBE" w14:textId="77777777" w:rsidR="00BA0621" w:rsidRPr="00BA0621" w:rsidRDefault="00BA0621" w:rsidP="00BA0621">
      <w:pPr>
        <w:rPr>
          <w:b/>
          <w:bCs/>
        </w:rPr>
      </w:pPr>
    </w:p>
    <w:p w14:paraId="179EC2AE" w14:textId="77777777" w:rsidR="005B5D81" w:rsidRPr="005B5D81" w:rsidRDefault="005B5D81" w:rsidP="005B5D81">
      <w:pPr>
        <w:rPr>
          <w:b/>
          <w:bCs/>
        </w:rPr>
      </w:pPr>
    </w:p>
    <w:p w14:paraId="7A71EFE6" w14:textId="77777777" w:rsidR="00A52B5B" w:rsidRPr="00545880" w:rsidRDefault="00A52B5B" w:rsidP="00545880">
      <w:pPr>
        <w:rPr>
          <w:szCs w:val="22"/>
        </w:rPr>
      </w:pPr>
    </w:p>
    <w:p w14:paraId="0FCACF73" w14:textId="77777777" w:rsidR="00545880" w:rsidRPr="00545880" w:rsidRDefault="00545880" w:rsidP="00545880">
      <w:pPr>
        <w:pStyle w:val="ListParagraph"/>
        <w:ind w:left="1080"/>
        <w:rPr>
          <w:szCs w:val="22"/>
        </w:rPr>
      </w:pPr>
    </w:p>
    <w:p w14:paraId="1122A13F" w14:textId="77777777" w:rsidR="00545880" w:rsidRPr="004170BB" w:rsidRDefault="00545880" w:rsidP="006C04A7">
      <w:pPr>
        <w:rPr>
          <w:szCs w:val="22"/>
          <w:lang w:val="en-US"/>
        </w:rPr>
      </w:pPr>
    </w:p>
    <w:p w14:paraId="147F9437" w14:textId="77777777" w:rsidR="006C04A7" w:rsidRDefault="006C04A7" w:rsidP="006C04A7">
      <w:pPr>
        <w:rPr>
          <w:b/>
          <w:bCs/>
        </w:rPr>
      </w:pPr>
    </w:p>
    <w:p w14:paraId="17B375AA" w14:textId="77777777" w:rsidR="002F2A4E" w:rsidRDefault="002F2A4E"/>
    <w:sectPr w:rsidR="002F2A4E" w:rsidSect="00795FC8">
      <w:pgSz w:w="15840" w:h="12240" w:orient="landscape"/>
      <w:pgMar w:top="720" w:right="990" w:bottom="720"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66430"/>
    <w:multiLevelType w:val="hybridMultilevel"/>
    <w:tmpl w:val="0FFEC032"/>
    <w:lvl w:ilvl="0" w:tplc="647AF15C">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1A92A87"/>
    <w:multiLevelType w:val="hybridMultilevel"/>
    <w:tmpl w:val="01E4EB88"/>
    <w:lvl w:ilvl="0" w:tplc="7924CDD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2A45F9E"/>
    <w:multiLevelType w:val="hybridMultilevel"/>
    <w:tmpl w:val="DBB0AD56"/>
    <w:lvl w:ilvl="0" w:tplc="96FE3092">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26FF4F2B"/>
    <w:multiLevelType w:val="hybridMultilevel"/>
    <w:tmpl w:val="A4A4A1A6"/>
    <w:lvl w:ilvl="0" w:tplc="63787A12">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36D3724C"/>
    <w:multiLevelType w:val="hybridMultilevel"/>
    <w:tmpl w:val="BD70FBF2"/>
    <w:lvl w:ilvl="0" w:tplc="1A9AEAA0">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4929702B"/>
    <w:multiLevelType w:val="hybridMultilevel"/>
    <w:tmpl w:val="5D26F296"/>
    <w:lvl w:ilvl="0" w:tplc="BCE4ED2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5629200A"/>
    <w:multiLevelType w:val="hybridMultilevel"/>
    <w:tmpl w:val="EAA8D544"/>
    <w:lvl w:ilvl="0" w:tplc="B43CDF60">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7A560341"/>
    <w:multiLevelType w:val="hybridMultilevel"/>
    <w:tmpl w:val="970E6C20"/>
    <w:lvl w:ilvl="0" w:tplc="703AC44E">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7CE833EF"/>
    <w:multiLevelType w:val="hybridMultilevel"/>
    <w:tmpl w:val="AF107BD0"/>
    <w:lvl w:ilvl="0" w:tplc="A1E8DED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7E571BB0"/>
    <w:multiLevelType w:val="hybridMultilevel"/>
    <w:tmpl w:val="83248632"/>
    <w:lvl w:ilvl="0" w:tplc="2EE0AEC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196624827">
    <w:abstractNumId w:val="7"/>
  </w:num>
  <w:num w:numId="2" w16cid:durableId="369842890">
    <w:abstractNumId w:val="3"/>
  </w:num>
  <w:num w:numId="3" w16cid:durableId="530841626">
    <w:abstractNumId w:val="9"/>
  </w:num>
  <w:num w:numId="4" w16cid:durableId="1520966753">
    <w:abstractNumId w:val="6"/>
  </w:num>
  <w:num w:numId="5" w16cid:durableId="1329599893">
    <w:abstractNumId w:val="0"/>
  </w:num>
  <w:num w:numId="6" w16cid:durableId="97993215">
    <w:abstractNumId w:val="4"/>
  </w:num>
  <w:num w:numId="7" w16cid:durableId="2057586254">
    <w:abstractNumId w:val="8"/>
  </w:num>
  <w:num w:numId="8" w16cid:durableId="211385934">
    <w:abstractNumId w:val="1"/>
  </w:num>
  <w:num w:numId="9" w16cid:durableId="1124471430">
    <w:abstractNumId w:val="2"/>
  </w:num>
  <w:num w:numId="10" w16cid:durableId="13451349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4A7"/>
    <w:rsid w:val="0001143A"/>
    <w:rsid w:val="000602A6"/>
    <w:rsid w:val="00083609"/>
    <w:rsid w:val="00135BFD"/>
    <w:rsid w:val="001A2163"/>
    <w:rsid w:val="002C5536"/>
    <w:rsid w:val="002F2A4E"/>
    <w:rsid w:val="003419FB"/>
    <w:rsid w:val="0037532A"/>
    <w:rsid w:val="00507AA0"/>
    <w:rsid w:val="00532459"/>
    <w:rsid w:val="00545880"/>
    <w:rsid w:val="005B5D81"/>
    <w:rsid w:val="005D34A0"/>
    <w:rsid w:val="005F628E"/>
    <w:rsid w:val="005F6FCF"/>
    <w:rsid w:val="00665048"/>
    <w:rsid w:val="006B4633"/>
    <w:rsid w:val="006C04A7"/>
    <w:rsid w:val="007107E9"/>
    <w:rsid w:val="007368FF"/>
    <w:rsid w:val="00795FC8"/>
    <w:rsid w:val="00941697"/>
    <w:rsid w:val="00973242"/>
    <w:rsid w:val="00A52B5B"/>
    <w:rsid w:val="00A77B37"/>
    <w:rsid w:val="00AA0E0B"/>
    <w:rsid w:val="00AF2E13"/>
    <w:rsid w:val="00B57FFA"/>
    <w:rsid w:val="00BA0621"/>
    <w:rsid w:val="00C240F0"/>
    <w:rsid w:val="00CA39E1"/>
    <w:rsid w:val="00D81B55"/>
    <w:rsid w:val="00D86C31"/>
    <w:rsid w:val="00DE0A94"/>
    <w:rsid w:val="00E45318"/>
    <w:rsid w:val="00E82632"/>
    <w:rsid w:val="00F63C19"/>
    <w:rsid w:val="00FC0E1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18B38"/>
  <w15:chartTrackingRefBased/>
  <w15:docId w15:val="{6C329798-3F30-4866-A09B-B19BF5F04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04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58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1130</Words>
  <Characters>6355</Characters>
  <Application>Microsoft Office Word</Application>
  <DocSecurity>0</DocSecurity>
  <Lines>107</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Kirti Anamika</dc:creator>
  <cp:keywords/>
  <dc:description/>
  <cp:lastModifiedBy>Kirti Anamika</cp:lastModifiedBy>
  <cp:revision>2</cp:revision>
  <dcterms:created xsi:type="dcterms:W3CDTF">2022-10-31T18:01:00Z</dcterms:created>
  <dcterms:modified xsi:type="dcterms:W3CDTF">2022-10-31T18:01:00Z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31910b7ad07d3fee85357904de161073924f8c395f73f3ce3ee3e388f9192598</vt:lpwstr>
  </property>
</Properties>
</file>